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D0E" w:rsidRPr="00781D0E" w:rsidRDefault="00781D0E" w:rsidP="00E110E4">
      <w:pPr>
        <w:jc w:val="both"/>
        <w:rPr>
          <w:b/>
          <w:sz w:val="20"/>
          <w:szCs w:val="20"/>
          <w:lang w:val="en-US"/>
        </w:rPr>
      </w:pPr>
      <w:proofErr w:type="spellStart"/>
      <w:r w:rsidRPr="00781D0E">
        <w:rPr>
          <w:b/>
          <w:sz w:val="20"/>
          <w:szCs w:val="20"/>
          <w:lang w:val="en-US"/>
        </w:rPr>
        <w:t>Citações</w:t>
      </w:r>
      <w:proofErr w:type="spellEnd"/>
      <w:r w:rsidRPr="00781D0E">
        <w:rPr>
          <w:b/>
          <w:sz w:val="20"/>
          <w:szCs w:val="20"/>
          <w:lang w:val="en-US"/>
        </w:rPr>
        <w:t>:</w:t>
      </w:r>
    </w:p>
    <w:p w:rsidR="003B4B6C" w:rsidRPr="00E110E4" w:rsidRDefault="00006C4C" w:rsidP="00E110E4">
      <w:pPr>
        <w:jc w:val="both"/>
        <w:rPr>
          <w:sz w:val="20"/>
          <w:szCs w:val="20"/>
          <w:lang w:val="en-US"/>
        </w:rPr>
      </w:pPr>
      <w:r w:rsidRPr="00E110E4">
        <w:rPr>
          <w:sz w:val="20"/>
          <w:szCs w:val="20"/>
          <w:lang w:val="en-US"/>
        </w:rPr>
        <w:t xml:space="preserve">1.“Kant’s argument that moral rules have a peculiar and dignified status depends wholly upon his attempt to link moral action with rationality through the mere concept of the form of the law and the principle of </w:t>
      </w:r>
      <w:proofErr w:type="spellStart"/>
      <w:r w:rsidRPr="00E110E4">
        <w:rPr>
          <w:sz w:val="20"/>
          <w:szCs w:val="20"/>
          <w:lang w:val="en-US"/>
        </w:rPr>
        <w:t>universalisability</w:t>
      </w:r>
      <w:proofErr w:type="spellEnd"/>
      <w:r w:rsidRPr="00E110E4">
        <w:rPr>
          <w:sz w:val="20"/>
          <w:szCs w:val="20"/>
          <w:lang w:val="en-US"/>
        </w:rPr>
        <w:t xml:space="preserve">, as interpreted by him. In acting morally Kant thinks that we do as reason dictates. (…) if it could be proved, then any man, whatever his desires, could be shown to have reason to act morally.” </w:t>
      </w:r>
      <w:proofErr w:type="gramStart"/>
      <w:r w:rsidRPr="00E110E4">
        <w:rPr>
          <w:sz w:val="20"/>
          <w:szCs w:val="20"/>
          <w:lang w:val="en-US"/>
        </w:rPr>
        <w:t>(P. Foot, “Morality as a System of Hypothetical Imperatives”, nota 15.)</w:t>
      </w:r>
      <w:proofErr w:type="gramEnd"/>
    </w:p>
    <w:p w:rsidR="00A32220" w:rsidRPr="00E110E4" w:rsidRDefault="00A32220" w:rsidP="00E110E4">
      <w:pPr>
        <w:jc w:val="both"/>
        <w:rPr>
          <w:sz w:val="20"/>
          <w:szCs w:val="20"/>
        </w:rPr>
      </w:pPr>
      <w:r w:rsidRPr="00E110E4">
        <w:rPr>
          <w:sz w:val="20"/>
          <w:szCs w:val="20"/>
        </w:rPr>
        <w:t xml:space="preserve">2. Thomas Nagel punha a questão desta forma: </w:t>
      </w:r>
      <w:proofErr w:type="gramStart"/>
      <w:r w:rsidRPr="00E110E4">
        <w:rPr>
          <w:sz w:val="20"/>
          <w:szCs w:val="20"/>
        </w:rPr>
        <w:t>faz sentido</w:t>
      </w:r>
      <w:proofErr w:type="gramEnd"/>
      <w:r w:rsidRPr="00E110E4">
        <w:rPr>
          <w:sz w:val="20"/>
          <w:szCs w:val="20"/>
        </w:rPr>
        <w:t xml:space="preserve"> perguntar ‘porquê fazer aquilo que tenho razão para fazer’? (T. Nagel, </w:t>
      </w:r>
      <w:proofErr w:type="spellStart"/>
      <w:r w:rsidRPr="00E110E4">
        <w:rPr>
          <w:i/>
          <w:sz w:val="20"/>
          <w:szCs w:val="20"/>
        </w:rPr>
        <w:t>The</w:t>
      </w:r>
      <w:proofErr w:type="spellEnd"/>
      <w:r w:rsidRPr="00E110E4">
        <w:rPr>
          <w:i/>
          <w:sz w:val="20"/>
          <w:szCs w:val="20"/>
        </w:rPr>
        <w:t xml:space="preserve"> </w:t>
      </w:r>
      <w:proofErr w:type="spellStart"/>
      <w:r w:rsidRPr="00E110E4">
        <w:rPr>
          <w:i/>
          <w:sz w:val="20"/>
          <w:szCs w:val="20"/>
        </w:rPr>
        <w:t>Possibility</w:t>
      </w:r>
      <w:proofErr w:type="spellEnd"/>
      <w:r w:rsidRPr="00E110E4">
        <w:rPr>
          <w:i/>
          <w:sz w:val="20"/>
          <w:szCs w:val="20"/>
        </w:rPr>
        <w:t xml:space="preserve"> </w:t>
      </w:r>
      <w:proofErr w:type="spellStart"/>
      <w:r w:rsidRPr="00E110E4">
        <w:rPr>
          <w:i/>
          <w:sz w:val="20"/>
          <w:szCs w:val="20"/>
        </w:rPr>
        <w:t>of</w:t>
      </w:r>
      <w:proofErr w:type="spellEnd"/>
      <w:r w:rsidRPr="00E110E4">
        <w:rPr>
          <w:i/>
          <w:sz w:val="20"/>
          <w:szCs w:val="20"/>
        </w:rPr>
        <w:t xml:space="preserve"> </w:t>
      </w:r>
      <w:proofErr w:type="spellStart"/>
      <w:r w:rsidRPr="00E110E4">
        <w:rPr>
          <w:i/>
          <w:sz w:val="20"/>
          <w:szCs w:val="20"/>
        </w:rPr>
        <w:t>Altruism</w:t>
      </w:r>
      <w:proofErr w:type="spellEnd"/>
      <w:r w:rsidRPr="00E110E4">
        <w:rPr>
          <w:sz w:val="20"/>
          <w:szCs w:val="20"/>
        </w:rPr>
        <w:t xml:space="preserve">). Para Nagel, como para </w:t>
      </w:r>
      <w:proofErr w:type="spellStart"/>
      <w:r w:rsidRPr="00E110E4">
        <w:rPr>
          <w:sz w:val="20"/>
          <w:szCs w:val="20"/>
        </w:rPr>
        <w:t>McDowell</w:t>
      </w:r>
      <w:proofErr w:type="spellEnd"/>
      <w:r w:rsidRPr="00E110E4">
        <w:rPr>
          <w:sz w:val="20"/>
          <w:szCs w:val="20"/>
        </w:rPr>
        <w:t xml:space="preserve">, não. </w:t>
      </w:r>
    </w:p>
    <w:p w:rsidR="00006C4C" w:rsidRPr="00E110E4" w:rsidRDefault="00A32220" w:rsidP="00E110E4">
      <w:pPr>
        <w:jc w:val="both"/>
        <w:rPr>
          <w:sz w:val="20"/>
          <w:szCs w:val="20"/>
        </w:rPr>
      </w:pPr>
      <w:r w:rsidRPr="00E110E4">
        <w:rPr>
          <w:sz w:val="20"/>
          <w:szCs w:val="20"/>
        </w:rPr>
        <w:t>3</w:t>
      </w:r>
      <w:r w:rsidR="00006C4C" w:rsidRPr="00E110E4">
        <w:rPr>
          <w:sz w:val="20"/>
          <w:szCs w:val="20"/>
        </w:rPr>
        <w:t xml:space="preserve">. Questionado sobre a possibilidade da acrasia (de não agirmos de acordo com o que pensamos ser melhor, moralmente, neste caso), </w:t>
      </w:r>
      <w:proofErr w:type="spellStart"/>
      <w:r w:rsidR="00006C4C" w:rsidRPr="00E110E4">
        <w:rPr>
          <w:sz w:val="20"/>
          <w:szCs w:val="20"/>
        </w:rPr>
        <w:t>McDowell</w:t>
      </w:r>
      <w:proofErr w:type="spellEnd"/>
      <w:r w:rsidR="00006C4C" w:rsidRPr="00E110E4">
        <w:rPr>
          <w:sz w:val="20"/>
          <w:szCs w:val="20"/>
        </w:rPr>
        <w:t xml:space="preserve"> diz o seguinte: “</w:t>
      </w:r>
      <w:proofErr w:type="spellStart"/>
      <w:r w:rsidR="00006C4C" w:rsidRPr="00E110E4">
        <w:rPr>
          <w:sz w:val="20"/>
          <w:szCs w:val="20"/>
        </w:rPr>
        <w:t>the</w:t>
      </w:r>
      <w:proofErr w:type="spellEnd"/>
      <w:r w:rsidR="00006C4C" w:rsidRPr="00E110E4">
        <w:rPr>
          <w:sz w:val="20"/>
          <w:szCs w:val="20"/>
        </w:rPr>
        <w:t xml:space="preserve"> </w:t>
      </w:r>
      <w:proofErr w:type="spellStart"/>
      <w:r w:rsidR="00006C4C" w:rsidRPr="00E110E4">
        <w:rPr>
          <w:sz w:val="20"/>
          <w:szCs w:val="20"/>
        </w:rPr>
        <w:t>dictates</w:t>
      </w:r>
      <w:proofErr w:type="spellEnd"/>
      <w:r w:rsidR="00006C4C" w:rsidRPr="00E110E4">
        <w:rPr>
          <w:sz w:val="20"/>
          <w:szCs w:val="20"/>
        </w:rPr>
        <w:t xml:space="preserve"> </w:t>
      </w:r>
      <w:proofErr w:type="spellStart"/>
      <w:r w:rsidR="00006C4C" w:rsidRPr="00E110E4">
        <w:rPr>
          <w:sz w:val="20"/>
          <w:szCs w:val="20"/>
        </w:rPr>
        <w:t>of</w:t>
      </w:r>
      <w:proofErr w:type="spellEnd"/>
      <w:r w:rsidR="00006C4C" w:rsidRPr="00E110E4">
        <w:rPr>
          <w:sz w:val="20"/>
          <w:szCs w:val="20"/>
        </w:rPr>
        <w:t xml:space="preserve"> </w:t>
      </w:r>
      <w:proofErr w:type="spellStart"/>
      <w:r w:rsidR="00006C4C" w:rsidRPr="00E110E4">
        <w:rPr>
          <w:sz w:val="20"/>
          <w:szCs w:val="20"/>
        </w:rPr>
        <w:t>virtue</w:t>
      </w:r>
      <w:proofErr w:type="spellEnd"/>
      <w:r w:rsidR="00006C4C" w:rsidRPr="00E110E4">
        <w:rPr>
          <w:sz w:val="20"/>
          <w:szCs w:val="20"/>
        </w:rPr>
        <w:t xml:space="preserve">, </w:t>
      </w:r>
      <w:proofErr w:type="spellStart"/>
      <w:r w:rsidR="00006C4C" w:rsidRPr="00E110E4">
        <w:rPr>
          <w:sz w:val="20"/>
          <w:szCs w:val="20"/>
        </w:rPr>
        <w:t>if</w:t>
      </w:r>
      <w:proofErr w:type="spellEnd"/>
      <w:r w:rsidR="00006C4C" w:rsidRPr="00E110E4">
        <w:rPr>
          <w:sz w:val="20"/>
          <w:szCs w:val="20"/>
        </w:rPr>
        <w:t xml:space="preserve"> </w:t>
      </w:r>
      <w:proofErr w:type="spellStart"/>
      <w:r w:rsidR="00006C4C" w:rsidRPr="00E110E4">
        <w:rPr>
          <w:sz w:val="20"/>
          <w:szCs w:val="20"/>
        </w:rPr>
        <w:t>properly</w:t>
      </w:r>
      <w:proofErr w:type="spellEnd"/>
      <w:r w:rsidR="00006C4C" w:rsidRPr="00E110E4">
        <w:rPr>
          <w:sz w:val="20"/>
          <w:szCs w:val="20"/>
        </w:rPr>
        <w:t xml:space="preserve"> </w:t>
      </w:r>
      <w:proofErr w:type="spellStart"/>
      <w:r w:rsidR="00006C4C" w:rsidRPr="00E110E4">
        <w:rPr>
          <w:sz w:val="20"/>
          <w:szCs w:val="20"/>
        </w:rPr>
        <w:t>appreciated</w:t>
      </w:r>
      <w:proofErr w:type="spellEnd"/>
      <w:r w:rsidR="00006C4C" w:rsidRPr="00E110E4">
        <w:rPr>
          <w:sz w:val="20"/>
          <w:szCs w:val="20"/>
        </w:rPr>
        <w:t xml:space="preserve">, are </w:t>
      </w:r>
      <w:proofErr w:type="spellStart"/>
      <w:r w:rsidR="00006C4C" w:rsidRPr="00E110E4">
        <w:rPr>
          <w:sz w:val="20"/>
          <w:szCs w:val="20"/>
        </w:rPr>
        <w:t>not</w:t>
      </w:r>
      <w:proofErr w:type="spellEnd"/>
      <w:r w:rsidR="00006C4C" w:rsidRPr="00E110E4">
        <w:rPr>
          <w:sz w:val="20"/>
          <w:szCs w:val="20"/>
        </w:rPr>
        <w:t xml:space="preserve"> </w:t>
      </w:r>
      <w:proofErr w:type="spellStart"/>
      <w:r w:rsidR="00006C4C" w:rsidRPr="00E110E4">
        <w:rPr>
          <w:sz w:val="20"/>
          <w:szCs w:val="20"/>
        </w:rPr>
        <w:t>weighed</w:t>
      </w:r>
      <w:proofErr w:type="spellEnd"/>
      <w:r w:rsidR="00006C4C" w:rsidRPr="00E110E4">
        <w:rPr>
          <w:sz w:val="20"/>
          <w:szCs w:val="20"/>
        </w:rPr>
        <w:t xml:space="preserve"> </w:t>
      </w:r>
      <w:proofErr w:type="spellStart"/>
      <w:r w:rsidR="00006C4C" w:rsidRPr="00E110E4">
        <w:rPr>
          <w:sz w:val="20"/>
          <w:szCs w:val="20"/>
        </w:rPr>
        <w:t>with</w:t>
      </w:r>
      <w:proofErr w:type="spellEnd"/>
      <w:r w:rsidR="00006C4C" w:rsidRPr="00E110E4">
        <w:rPr>
          <w:sz w:val="20"/>
          <w:szCs w:val="20"/>
        </w:rPr>
        <w:t xml:space="preserve"> </w:t>
      </w:r>
      <w:proofErr w:type="spellStart"/>
      <w:r w:rsidR="00006C4C" w:rsidRPr="00E110E4">
        <w:rPr>
          <w:sz w:val="20"/>
          <w:szCs w:val="20"/>
        </w:rPr>
        <w:t>other</w:t>
      </w:r>
      <w:proofErr w:type="spellEnd"/>
      <w:r w:rsidR="00006C4C" w:rsidRPr="00E110E4">
        <w:rPr>
          <w:sz w:val="20"/>
          <w:szCs w:val="20"/>
        </w:rPr>
        <w:t xml:space="preserve"> </w:t>
      </w:r>
      <w:proofErr w:type="spellStart"/>
      <w:r w:rsidR="00006C4C" w:rsidRPr="00E110E4">
        <w:rPr>
          <w:sz w:val="20"/>
          <w:szCs w:val="20"/>
        </w:rPr>
        <w:t>reasons</w:t>
      </w:r>
      <w:proofErr w:type="spellEnd"/>
      <w:r w:rsidR="00006C4C" w:rsidRPr="00E110E4">
        <w:rPr>
          <w:sz w:val="20"/>
          <w:szCs w:val="20"/>
        </w:rPr>
        <w:t xml:space="preserve"> </w:t>
      </w:r>
      <w:proofErr w:type="spellStart"/>
      <w:r w:rsidR="00006C4C" w:rsidRPr="00E110E4">
        <w:rPr>
          <w:sz w:val="20"/>
          <w:szCs w:val="20"/>
        </w:rPr>
        <w:t>at</w:t>
      </w:r>
      <w:proofErr w:type="spellEnd"/>
      <w:r w:rsidR="00006C4C" w:rsidRPr="00E110E4">
        <w:rPr>
          <w:sz w:val="20"/>
          <w:szCs w:val="20"/>
        </w:rPr>
        <w:t xml:space="preserve"> </w:t>
      </w:r>
      <w:proofErr w:type="spellStart"/>
      <w:r w:rsidR="00006C4C" w:rsidRPr="00E110E4">
        <w:rPr>
          <w:sz w:val="20"/>
          <w:szCs w:val="20"/>
        </w:rPr>
        <w:t>all</w:t>
      </w:r>
      <w:proofErr w:type="spellEnd"/>
      <w:r w:rsidR="00006C4C" w:rsidRPr="00E110E4">
        <w:rPr>
          <w:sz w:val="20"/>
          <w:szCs w:val="20"/>
        </w:rPr>
        <w:t xml:space="preserve"> (…). </w:t>
      </w:r>
      <w:r w:rsidR="00006C4C" w:rsidRPr="00E110E4">
        <w:rPr>
          <w:sz w:val="20"/>
          <w:szCs w:val="20"/>
          <w:lang w:val="en-US"/>
        </w:rPr>
        <w:t xml:space="preserve">If a situation in which virtue imposes a requirement is genuinely conceived as such (…), then considerations that, in the absence of the requirement, would have constituted reasons for acting otherwise are silenced altogether by the requirement.” </w:t>
      </w:r>
      <w:r w:rsidR="00006C4C" w:rsidRPr="00E110E4">
        <w:rPr>
          <w:sz w:val="20"/>
          <w:szCs w:val="20"/>
        </w:rPr>
        <w:t>(p.90)</w:t>
      </w:r>
    </w:p>
    <w:p w:rsidR="00BB426F" w:rsidRDefault="008F1A26" w:rsidP="00E110E4">
      <w:pPr>
        <w:jc w:val="both"/>
        <w:rPr>
          <w:rFonts w:cstheme="minorHAnsi"/>
          <w:sz w:val="20"/>
          <w:szCs w:val="20"/>
        </w:rPr>
      </w:pPr>
      <w:r w:rsidRPr="00E110E4">
        <w:rPr>
          <w:sz w:val="20"/>
          <w:szCs w:val="20"/>
        </w:rPr>
        <w:t xml:space="preserve">4. Pensemos em C. </w:t>
      </w:r>
      <w:proofErr w:type="spellStart"/>
      <w:r w:rsidRPr="00E110E4">
        <w:rPr>
          <w:sz w:val="20"/>
          <w:szCs w:val="20"/>
        </w:rPr>
        <w:t>Korsgaard</w:t>
      </w:r>
      <w:proofErr w:type="spellEnd"/>
      <w:r w:rsidRPr="00E110E4">
        <w:rPr>
          <w:sz w:val="20"/>
          <w:szCs w:val="20"/>
        </w:rPr>
        <w:t xml:space="preserve">, por exemplo. Para ela, se acreditarmos que há algo como a racionalidade prática, então as razões para agir têm que ser capazes de motivar </w:t>
      </w:r>
      <w:r w:rsidRPr="00E110E4">
        <w:rPr>
          <w:i/>
          <w:sz w:val="20"/>
          <w:szCs w:val="20"/>
        </w:rPr>
        <w:t xml:space="preserve">pessoas </w:t>
      </w:r>
      <w:proofErr w:type="gramStart"/>
      <w:r w:rsidRPr="00E110E4">
        <w:rPr>
          <w:i/>
          <w:sz w:val="20"/>
          <w:szCs w:val="20"/>
        </w:rPr>
        <w:t>racionais</w:t>
      </w:r>
      <w:r w:rsidRPr="00E110E4">
        <w:rPr>
          <w:sz w:val="20"/>
          <w:szCs w:val="20"/>
        </w:rPr>
        <w:t xml:space="preserve">.  </w:t>
      </w:r>
      <w:r w:rsidRPr="00E110E4">
        <w:rPr>
          <w:sz w:val="20"/>
          <w:szCs w:val="20"/>
          <w:lang w:val="en-US"/>
        </w:rPr>
        <w:t>“Unless reasons are motives, we cannot be said to be practically rational” (MDP, p. 377).</w:t>
      </w:r>
      <w:proofErr w:type="gramEnd"/>
      <w:r w:rsidRPr="00E110E4">
        <w:rPr>
          <w:sz w:val="20"/>
          <w:szCs w:val="20"/>
          <w:lang w:val="en-US"/>
        </w:rPr>
        <w:t xml:space="preserve"> </w:t>
      </w:r>
      <w:r w:rsidR="00BB426F" w:rsidRPr="00E110E4">
        <w:rPr>
          <w:rFonts w:cstheme="minorHAnsi"/>
          <w:sz w:val="20"/>
          <w:szCs w:val="20"/>
        </w:rPr>
        <w:t xml:space="preserve">Ao contrário de </w:t>
      </w:r>
      <w:proofErr w:type="spellStart"/>
      <w:r w:rsidR="00BB426F" w:rsidRPr="00E110E4">
        <w:rPr>
          <w:rFonts w:cstheme="minorHAnsi"/>
          <w:sz w:val="20"/>
          <w:szCs w:val="20"/>
        </w:rPr>
        <w:t>Korsgaard</w:t>
      </w:r>
      <w:proofErr w:type="spellEnd"/>
      <w:r w:rsidR="00BB426F" w:rsidRPr="00E110E4">
        <w:rPr>
          <w:rFonts w:cstheme="minorHAnsi"/>
          <w:sz w:val="20"/>
          <w:szCs w:val="20"/>
        </w:rPr>
        <w:t xml:space="preserve">, </w:t>
      </w:r>
      <w:proofErr w:type="spellStart"/>
      <w:r w:rsidR="00BB426F" w:rsidRPr="00E110E4">
        <w:rPr>
          <w:rFonts w:cstheme="minorHAnsi"/>
          <w:sz w:val="20"/>
          <w:szCs w:val="20"/>
        </w:rPr>
        <w:t>McDowell</w:t>
      </w:r>
      <w:proofErr w:type="spellEnd"/>
      <w:r w:rsidR="00BB426F" w:rsidRPr="00E110E4">
        <w:rPr>
          <w:rFonts w:cstheme="minorHAnsi"/>
          <w:sz w:val="20"/>
          <w:szCs w:val="20"/>
        </w:rPr>
        <w:t xml:space="preserve"> fala de capacidades </w:t>
      </w:r>
      <w:proofErr w:type="spellStart"/>
      <w:r w:rsidR="00BB426F" w:rsidRPr="00E110E4">
        <w:rPr>
          <w:rFonts w:cstheme="minorHAnsi"/>
          <w:sz w:val="20"/>
          <w:szCs w:val="20"/>
        </w:rPr>
        <w:t>perceptivas</w:t>
      </w:r>
      <w:proofErr w:type="spellEnd"/>
      <w:r w:rsidR="00BB426F" w:rsidRPr="00E110E4">
        <w:rPr>
          <w:rFonts w:cstheme="minorHAnsi"/>
          <w:sz w:val="20"/>
          <w:szCs w:val="20"/>
        </w:rPr>
        <w:t xml:space="preserve"> e não de capacidades racionais – isto depois leva-o ao problema de saber qual o estatuto do valor (de enquadrá-lo no mundo natural). Para </w:t>
      </w:r>
      <w:proofErr w:type="spellStart"/>
      <w:r w:rsidR="00BB426F" w:rsidRPr="00E110E4">
        <w:rPr>
          <w:rFonts w:cstheme="minorHAnsi"/>
          <w:sz w:val="20"/>
          <w:szCs w:val="20"/>
        </w:rPr>
        <w:t>Mcd</w:t>
      </w:r>
      <w:proofErr w:type="spellEnd"/>
      <w:r w:rsidR="00BB426F" w:rsidRPr="00E110E4">
        <w:rPr>
          <w:rFonts w:cstheme="minorHAnsi"/>
          <w:sz w:val="20"/>
          <w:szCs w:val="20"/>
        </w:rPr>
        <w:t xml:space="preserve"> se o agente não vê que tem uma razão para fazer X, isso não significa que não deliberou </w:t>
      </w:r>
      <w:proofErr w:type="spellStart"/>
      <w:r w:rsidR="00BB426F" w:rsidRPr="00E110E4">
        <w:rPr>
          <w:rFonts w:cstheme="minorHAnsi"/>
          <w:sz w:val="20"/>
          <w:szCs w:val="20"/>
        </w:rPr>
        <w:t>correctamente</w:t>
      </w:r>
      <w:proofErr w:type="spellEnd"/>
      <w:r w:rsidR="00BB426F" w:rsidRPr="00E110E4">
        <w:rPr>
          <w:rFonts w:cstheme="minorHAnsi"/>
          <w:sz w:val="20"/>
          <w:szCs w:val="20"/>
        </w:rPr>
        <w:t>, mas que não teve a educação apropriada.</w:t>
      </w:r>
    </w:p>
    <w:p w:rsidR="00E110E4" w:rsidRPr="00E110E4" w:rsidRDefault="00E110E4" w:rsidP="00E110E4">
      <w:pPr>
        <w:jc w:val="both"/>
        <w:rPr>
          <w:rFonts w:cstheme="minorHAnsi"/>
          <w:sz w:val="20"/>
          <w:szCs w:val="20"/>
        </w:rPr>
      </w:pPr>
    </w:p>
    <w:p w:rsidR="0043796F" w:rsidRPr="008B2B91" w:rsidRDefault="0043796F" w:rsidP="00006C4C">
      <w:pPr>
        <w:rPr>
          <w:rFonts w:cstheme="minorHAnsi"/>
          <w:b/>
          <w:lang w:val="en-US"/>
        </w:rPr>
      </w:pPr>
      <w:proofErr w:type="spellStart"/>
      <w:r w:rsidRPr="008B2B91">
        <w:rPr>
          <w:rFonts w:cstheme="minorHAnsi"/>
          <w:b/>
          <w:lang w:val="en-US"/>
        </w:rPr>
        <w:t>Outras</w:t>
      </w:r>
      <w:proofErr w:type="spellEnd"/>
      <w:r w:rsidRPr="008B2B91">
        <w:rPr>
          <w:rFonts w:cstheme="minorHAnsi"/>
          <w:b/>
          <w:lang w:val="en-US"/>
        </w:rPr>
        <w:t xml:space="preserve"> </w:t>
      </w:r>
      <w:proofErr w:type="spellStart"/>
      <w:r w:rsidRPr="008B2B91">
        <w:rPr>
          <w:rFonts w:cstheme="minorHAnsi"/>
          <w:b/>
          <w:lang w:val="en-US"/>
        </w:rPr>
        <w:t>citações</w:t>
      </w:r>
      <w:proofErr w:type="spellEnd"/>
      <w:r w:rsidRPr="008B2B91">
        <w:rPr>
          <w:rFonts w:cstheme="minorHAnsi"/>
          <w:b/>
          <w:lang w:val="en-US"/>
        </w:rPr>
        <w:t xml:space="preserve"> </w:t>
      </w:r>
      <w:proofErr w:type="spellStart"/>
      <w:r w:rsidRPr="008B2B91">
        <w:rPr>
          <w:rFonts w:cstheme="minorHAnsi"/>
          <w:b/>
          <w:lang w:val="en-US"/>
        </w:rPr>
        <w:t>possivelmente</w:t>
      </w:r>
      <w:proofErr w:type="spellEnd"/>
      <w:r w:rsidRPr="008B2B91">
        <w:rPr>
          <w:rFonts w:cstheme="minorHAnsi"/>
          <w:b/>
          <w:lang w:val="en-US"/>
        </w:rPr>
        <w:t xml:space="preserve"> </w:t>
      </w:r>
      <w:proofErr w:type="spellStart"/>
      <w:r w:rsidRPr="008B2B91">
        <w:rPr>
          <w:rFonts w:cstheme="minorHAnsi"/>
          <w:b/>
          <w:lang w:val="en-US"/>
        </w:rPr>
        <w:t>úteis</w:t>
      </w:r>
      <w:proofErr w:type="spellEnd"/>
      <w:r w:rsidRPr="008B2B91">
        <w:rPr>
          <w:rFonts w:cstheme="minorHAnsi"/>
          <w:b/>
          <w:lang w:val="en-US"/>
        </w:rPr>
        <w:t>:</w:t>
      </w:r>
    </w:p>
    <w:p w:rsidR="0043796F" w:rsidRPr="008B2B91" w:rsidRDefault="0043796F" w:rsidP="0043796F">
      <w:pPr>
        <w:autoSpaceDE w:val="0"/>
        <w:autoSpaceDN w:val="0"/>
        <w:adjustRightInd w:val="0"/>
        <w:spacing w:after="0" w:line="240" w:lineRule="auto"/>
        <w:rPr>
          <w:rFonts w:cstheme="minorHAnsi"/>
          <w:sz w:val="20"/>
          <w:szCs w:val="20"/>
          <w:lang w:val="en-US"/>
        </w:rPr>
      </w:pPr>
      <w:r w:rsidRPr="008B2B91">
        <w:rPr>
          <w:rFonts w:cstheme="minorHAnsi"/>
          <w:sz w:val="20"/>
          <w:szCs w:val="20"/>
          <w:lang w:val="en-US"/>
        </w:rPr>
        <w:t xml:space="preserve">“All imperatives command either hypothetically or categorically. </w:t>
      </w:r>
      <w:proofErr w:type="gramStart"/>
      <w:r w:rsidRPr="008B2B91">
        <w:rPr>
          <w:rFonts w:cstheme="minorHAnsi"/>
          <w:sz w:val="20"/>
          <w:szCs w:val="20"/>
          <w:lang w:val="en-US"/>
        </w:rPr>
        <w:t>The former present the practical necessity of a possible action as a means to achieving something else which one desires (or which one may possibly desire).</w:t>
      </w:r>
      <w:proofErr w:type="gramEnd"/>
      <w:r w:rsidRPr="008B2B91">
        <w:rPr>
          <w:rFonts w:cstheme="minorHAnsi"/>
          <w:sz w:val="20"/>
          <w:szCs w:val="20"/>
          <w:lang w:val="en-US"/>
        </w:rPr>
        <w:t xml:space="preserve"> The categorical imperative would be one which presented an action as of itself objectively necessary, without regard to any other end. (…)</w:t>
      </w:r>
    </w:p>
    <w:p w:rsidR="0043796F" w:rsidRPr="00E110E4" w:rsidRDefault="0043796F" w:rsidP="0043796F">
      <w:pPr>
        <w:autoSpaceDE w:val="0"/>
        <w:autoSpaceDN w:val="0"/>
        <w:adjustRightInd w:val="0"/>
        <w:spacing w:after="0" w:line="240" w:lineRule="auto"/>
        <w:rPr>
          <w:rFonts w:cstheme="minorHAnsi"/>
          <w:b/>
          <w:bCs/>
          <w:sz w:val="20"/>
          <w:szCs w:val="20"/>
          <w:lang w:val="en-US"/>
        </w:rPr>
      </w:pPr>
      <w:r w:rsidRPr="008B2B91">
        <w:rPr>
          <w:rFonts w:cstheme="minorHAnsi"/>
          <w:sz w:val="20"/>
          <w:szCs w:val="20"/>
          <w:lang w:val="en-US"/>
        </w:rPr>
        <w:t>If the action is good only as a means to something else, the imperative is hypothetical; but if it is thought of as good in itself, and hence as necessary in a will which of itself conforms to reason as the principle of this will, the imperative is categorical.”</w:t>
      </w:r>
      <w:r w:rsidRPr="008B2B91">
        <w:rPr>
          <w:rFonts w:cstheme="minorHAnsi"/>
          <w:lang w:val="en-US"/>
        </w:rPr>
        <w:t xml:space="preserve"> </w:t>
      </w:r>
      <w:r w:rsidRPr="00E110E4">
        <w:rPr>
          <w:rFonts w:cstheme="minorHAnsi"/>
          <w:sz w:val="20"/>
          <w:szCs w:val="20"/>
          <w:lang w:val="en-US"/>
        </w:rPr>
        <w:t>(</w:t>
      </w:r>
      <w:r w:rsidR="009D121B" w:rsidRPr="00E110E4">
        <w:rPr>
          <w:rFonts w:cstheme="minorHAnsi"/>
          <w:sz w:val="20"/>
          <w:szCs w:val="20"/>
          <w:lang w:val="en-US"/>
        </w:rPr>
        <w:t xml:space="preserve">Kant, </w:t>
      </w:r>
      <w:r w:rsidRPr="00E110E4">
        <w:rPr>
          <w:rFonts w:cstheme="minorHAnsi"/>
          <w:i/>
          <w:iCs/>
          <w:sz w:val="20"/>
          <w:szCs w:val="20"/>
          <w:lang w:val="en-US"/>
        </w:rPr>
        <w:t xml:space="preserve">Foundations of the Metaphysics of Morals, </w:t>
      </w:r>
      <w:r w:rsidRPr="00E110E4">
        <w:rPr>
          <w:rFonts w:cstheme="minorHAnsi"/>
          <w:sz w:val="20"/>
          <w:szCs w:val="20"/>
          <w:lang w:val="en-US"/>
        </w:rPr>
        <w:t xml:space="preserve">Sec. </w:t>
      </w:r>
      <w:r w:rsidRPr="00E110E4">
        <w:rPr>
          <w:rFonts w:cstheme="minorHAnsi"/>
          <w:bCs/>
          <w:sz w:val="20"/>
          <w:szCs w:val="20"/>
          <w:lang w:val="en-US"/>
        </w:rPr>
        <w:t>II)</w:t>
      </w:r>
    </w:p>
    <w:p w:rsidR="006F33A0" w:rsidRDefault="006F33A0" w:rsidP="00006C4C">
      <w:pPr>
        <w:rPr>
          <w:rFonts w:cstheme="minorHAnsi"/>
          <w:b/>
          <w:lang w:val="en-US"/>
        </w:rPr>
      </w:pPr>
    </w:p>
    <w:p w:rsidR="00B1213C" w:rsidRPr="008B2B91" w:rsidRDefault="00B1213C" w:rsidP="00006C4C">
      <w:pPr>
        <w:rPr>
          <w:rFonts w:cstheme="minorHAnsi"/>
          <w:lang w:val="en-US"/>
        </w:rPr>
      </w:pPr>
      <w:proofErr w:type="spellStart"/>
      <w:r w:rsidRPr="008B2B91">
        <w:rPr>
          <w:rFonts w:cstheme="minorHAnsi"/>
          <w:b/>
          <w:lang w:val="en-US"/>
        </w:rPr>
        <w:t>Referências</w:t>
      </w:r>
      <w:proofErr w:type="spellEnd"/>
      <w:r w:rsidRPr="008B2B91">
        <w:rPr>
          <w:rFonts w:cstheme="minorHAnsi"/>
          <w:lang w:val="en-US"/>
        </w:rPr>
        <w:t>:</w:t>
      </w:r>
    </w:p>
    <w:p w:rsidR="00B1213C" w:rsidRPr="00E110E4" w:rsidRDefault="00B1213C" w:rsidP="00006C4C">
      <w:pPr>
        <w:rPr>
          <w:rFonts w:cstheme="minorHAnsi"/>
          <w:sz w:val="20"/>
          <w:szCs w:val="20"/>
          <w:lang w:val="en-US"/>
        </w:rPr>
      </w:pPr>
      <w:r w:rsidRPr="00E110E4">
        <w:rPr>
          <w:rFonts w:cstheme="minorHAnsi"/>
          <w:sz w:val="20"/>
          <w:szCs w:val="20"/>
          <w:lang w:val="en-US"/>
        </w:rPr>
        <w:t xml:space="preserve">Christine </w:t>
      </w:r>
      <w:proofErr w:type="spellStart"/>
      <w:r w:rsidRPr="00E110E4">
        <w:rPr>
          <w:rFonts w:cstheme="minorHAnsi"/>
          <w:sz w:val="20"/>
          <w:szCs w:val="20"/>
          <w:lang w:val="en-US"/>
        </w:rPr>
        <w:t>Korsgaard</w:t>
      </w:r>
      <w:proofErr w:type="spellEnd"/>
      <w:r w:rsidRPr="00E110E4">
        <w:rPr>
          <w:rFonts w:cstheme="minorHAnsi"/>
          <w:sz w:val="20"/>
          <w:szCs w:val="20"/>
          <w:lang w:val="en-US"/>
        </w:rPr>
        <w:t xml:space="preserve">, “Skepticism about </w:t>
      </w:r>
      <w:proofErr w:type="spellStart"/>
      <w:r w:rsidRPr="00E110E4">
        <w:rPr>
          <w:rFonts w:cstheme="minorHAnsi"/>
          <w:sz w:val="20"/>
          <w:szCs w:val="20"/>
          <w:lang w:val="en-US"/>
        </w:rPr>
        <w:t>pratical</w:t>
      </w:r>
      <w:proofErr w:type="spellEnd"/>
      <w:r w:rsidRPr="00E110E4">
        <w:rPr>
          <w:rFonts w:cstheme="minorHAnsi"/>
          <w:sz w:val="20"/>
          <w:szCs w:val="20"/>
          <w:lang w:val="en-US"/>
        </w:rPr>
        <w:t xml:space="preserve"> reason”, in S. </w:t>
      </w:r>
      <w:proofErr w:type="spellStart"/>
      <w:r w:rsidRPr="00E110E4">
        <w:rPr>
          <w:rFonts w:cstheme="minorHAnsi"/>
          <w:sz w:val="20"/>
          <w:szCs w:val="20"/>
          <w:lang w:val="en-US"/>
        </w:rPr>
        <w:t>Darwall</w:t>
      </w:r>
      <w:proofErr w:type="spellEnd"/>
      <w:r w:rsidRPr="00E110E4">
        <w:rPr>
          <w:rFonts w:cstheme="minorHAnsi"/>
          <w:sz w:val="20"/>
          <w:szCs w:val="20"/>
          <w:lang w:val="en-US"/>
        </w:rPr>
        <w:t xml:space="preserve">, A. </w:t>
      </w:r>
      <w:proofErr w:type="spellStart"/>
      <w:r w:rsidRPr="00E110E4">
        <w:rPr>
          <w:rFonts w:cstheme="minorHAnsi"/>
          <w:sz w:val="20"/>
          <w:szCs w:val="20"/>
          <w:lang w:val="en-US"/>
        </w:rPr>
        <w:t>Gibbard</w:t>
      </w:r>
      <w:proofErr w:type="spellEnd"/>
      <w:r w:rsidRPr="00E110E4">
        <w:rPr>
          <w:rFonts w:cstheme="minorHAnsi"/>
          <w:sz w:val="20"/>
          <w:szCs w:val="20"/>
          <w:lang w:val="en-US"/>
        </w:rPr>
        <w:t xml:space="preserve"> e P. </w:t>
      </w:r>
      <w:proofErr w:type="spellStart"/>
      <w:r w:rsidRPr="00E110E4">
        <w:rPr>
          <w:rFonts w:cstheme="minorHAnsi"/>
          <w:sz w:val="20"/>
          <w:szCs w:val="20"/>
          <w:lang w:val="en-US"/>
        </w:rPr>
        <w:t>Railton</w:t>
      </w:r>
      <w:proofErr w:type="spellEnd"/>
      <w:r w:rsidRPr="00E110E4">
        <w:rPr>
          <w:rFonts w:cstheme="minorHAnsi"/>
          <w:sz w:val="20"/>
          <w:szCs w:val="20"/>
          <w:lang w:val="en-US"/>
        </w:rPr>
        <w:t xml:space="preserve"> (eds.), </w:t>
      </w:r>
      <w:r w:rsidRPr="00E110E4">
        <w:rPr>
          <w:rFonts w:cstheme="minorHAnsi"/>
          <w:i/>
          <w:sz w:val="20"/>
          <w:szCs w:val="20"/>
          <w:lang w:val="en-US"/>
        </w:rPr>
        <w:t>Moral Discourse and Practice</w:t>
      </w:r>
      <w:r w:rsidRPr="00E110E4">
        <w:rPr>
          <w:rFonts w:cstheme="minorHAnsi"/>
          <w:sz w:val="20"/>
          <w:szCs w:val="20"/>
          <w:lang w:val="en-US"/>
        </w:rPr>
        <w:t xml:space="preserve">, Oxford University Press, 1997. </w:t>
      </w:r>
    </w:p>
    <w:p w:rsidR="006F33A0" w:rsidRPr="00E110E4" w:rsidRDefault="006F33A0" w:rsidP="00006C4C">
      <w:pPr>
        <w:rPr>
          <w:rFonts w:cstheme="minorHAnsi"/>
          <w:sz w:val="20"/>
          <w:szCs w:val="20"/>
          <w:lang w:val="en-US"/>
        </w:rPr>
      </w:pPr>
      <w:r w:rsidRPr="00E110E4">
        <w:rPr>
          <w:rFonts w:cstheme="minorHAnsi"/>
          <w:sz w:val="20"/>
          <w:szCs w:val="20"/>
          <w:lang w:val="en-US"/>
        </w:rPr>
        <w:t xml:space="preserve">David Brink, “Externalist moral realism”, </w:t>
      </w:r>
      <w:r w:rsidRPr="00E110E4">
        <w:rPr>
          <w:rFonts w:cstheme="minorHAnsi"/>
          <w:i/>
          <w:sz w:val="20"/>
          <w:szCs w:val="20"/>
          <w:lang w:val="en-US"/>
        </w:rPr>
        <w:t>Southern Journal of Philosophy</w:t>
      </w:r>
      <w:r w:rsidRPr="00E110E4">
        <w:rPr>
          <w:rFonts w:cstheme="minorHAnsi"/>
          <w:sz w:val="20"/>
          <w:szCs w:val="20"/>
          <w:lang w:val="en-US"/>
        </w:rPr>
        <w:t>, 24 (1986): 23-41.</w:t>
      </w:r>
    </w:p>
    <w:p w:rsidR="00B1213C" w:rsidRPr="00E110E4" w:rsidRDefault="00B1213C" w:rsidP="00006C4C">
      <w:pPr>
        <w:rPr>
          <w:rFonts w:cstheme="minorHAnsi"/>
          <w:sz w:val="20"/>
          <w:szCs w:val="20"/>
          <w:lang w:val="en-US"/>
        </w:rPr>
      </w:pPr>
      <w:r w:rsidRPr="00E110E4">
        <w:rPr>
          <w:rFonts w:cstheme="minorHAnsi"/>
          <w:sz w:val="20"/>
          <w:szCs w:val="20"/>
          <w:lang w:val="en-US"/>
        </w:rPr>
        <w:t xml:space="preserve">Immanuel Kant, </w:t>
      </w:r>
      <w:r w:rsidRPr="00E110E4">
        <w:rPr>
          <w:rFonts w:cstheme="minorHAnsi"/>
          <w:i/>
          <w:sz w:val="20"/>
          <w:szCs w:val="20"/>
          <w:lang w:val="en-US"/>
        </w:rPr>
        <w:t>Groundwork of the Metaphysic of Morals</w:t>
      </w:r>
      <w:r w:rsidRPr="00E110E4">
        <w:rPr>
          <w:rFonts w:cstheme="minorHAnsi"/>
          <w:sz w:val="20"/>
          <w:szCs w:val="20"/>
          <w:lang w:val="en-US"/>
        </w:rPr>
        <w:t xml:space="preserve">, </w:t>
      </w:r>
      <w:proofErr w:type="spellStart"/>
      <w:r w:rsidR="008B2B91" w:rsidRPr="00E110E4">
        <w:rPr>
          <w:rFonts w:cstheme="minorHAnsi"/>
          <w:sz w:val="20"/>
          <w:szCs w:val="20"/>
          <w:lang w:val="en-US"/>
        </w:rPr>
        <w:t>Routledge</w:t>
      </w:r>
      <w:proofErr w:type="spellEnd"/>
      <w:r w:rsidR="008B2B91" w:rsidRPr="00E110E4">
        <w:rPr>
          <w:rFonts w:cstheme="minorHAnsi"/>
          <w:sz w:val="20"/>
          <w:szCs w:val="20"/>
          <w:lang w:val="en-US"/>
        </w:rPr>
        <w:t xml:space="preserve"> Classics, 2005.</w:t>
      </w:r>
    </w:p>
    <w:p w:rsidR="00B1213C" w:rsidRPr="00E110E4" w:rsidRDefault="00B1213C" w:rsidP="00006C4C">
      <w:pPr>
        <w:rPr>
          <w:rFonts w:cstheme="minorHAnsi"/>
          <w:sz w:val="20"/>
          <w:szCs w:val="20"/>
          <w:lang w:val="en-US"/>
        </w:rPr>
      </w:pPr>
      <w:r w:rsidRPr="00E110E4">
        <w:rPr>
          <w:rFonts w:cstheme="minorHAnsi"/>
          <w:sz w:val="20"/>
          <w:szCs w:val="20"/>
          <w:lang w:val="en-US"/>
        </w:rPr>
        <w:t>John McDowell, “Are moral requirements hypothetical imperatives?</w:t>
      </w:r>
      <w:proofErr w:type="gramStart"/>
      <w:r w:rsidRPr="00E110E4">
        <w:rPr>
          <w:rFonts w:cstheme="minorHAnsi"/>
          <w:sz w:val="20"/>
          <w:szCs w:val="20"/>
          <w:lang w:val="en-US"/>
        </w:rPr>
        <w:t>”,</w:t>
      </w:r>
      <w:proofErr w:type="gramEnd"/>
      <w:r w:rsidRPr="00E110E4">
        <w:rPr>
          <w:rFonts w:cstheme="minorHAnsi"/>
          <w:sz w:val="20"/>
          <w:szCs w:val="20"/>
          <w:lang w:val="en-US"/>
        </w:rPr>
        <w:t xml:space="preserve"> in J. McDowell, </w:t>
      </w:r>
      <w:r w:rsidRPr="00E110E4">
        <w:rPr>
          <w:rFonts w:cstheme="minorHAnsi"/>
          <w:i/>
          <w:sz w:val="20"/>
          <w:szCs w:val="20"/>
          <w:lang w:val="en-US"/>
        </w:rPr>
        <w:t>Mind Value and Reality</w:t>
      </w:r>
      <w:r w:rsidRPr="00E110E4">
        <w:rPr>
          <w:rFonts w:cstheme="minorHAnsi"/>
          <w:sz w:val="20"/>
          <w:szCs w:val="20"/>
          <w:lang w:val="en-US"/>
        </w:rPr>
        <w:t>, Cambridge, MA: Harvard University Press, 1998.</w:t>
      </w:r>
    </w:p>
    <w:p w:rsidR="006F33A0" w:rsidRPr="00E110E4" w:rsidRDefault="006F33A0" w:rsidP="00006C4C">
      <w:pPr>
        <w:rPr>
          <w:rFonts w:cstheme="minorHAnsi"/>
          <w:sz w:val="20"/>
          <w:szCs w:val="20"/>
          <w:lang w:val="en-US"/>
        </w:rPr>
      </w:pPr>
      <w:r w:rsidRPr="00E110E4">
        <w:rPr>
          <w:rFonts w:cstheme="minorHAnsi"/>
          <w:sz w:val="20"/>
          <w:szCs w:val="20"/>
          <w:lang w:val="en-US"/>
        </w:rPr>
        <w:t xml:space="preserve">Michael Smith, </w:t>
      </w:r>
      <w:proofErr w:type="gramStart"/>
      <w:r w:rsidRPr="00E110E4">
        <w:rPr>
          <w:rFonts w:cstheme="minorHAnsi"/>
          <w:i/>
          <w:sz w:val="20"/>
          <w:szCs w:val="20"/>
          <w:lang w:val="en-US"/>
        </w:rPr>
        <w:t>The</w:t>
      </w:r>
      <w:proofErr w:type="gramEnd"/>
      <w:r w:rsidRPr="00E110E4">
        <w:rPr>
          <w:rFonts w:cstheme="minorHAnsi"/>
          <w:i/>
          <w:sz w:val="20"/>
          <w:szCs w:val="20"/>
          <w:lang w:val="en-US"/>
        </w:rPr>
        <w:t xml:space="preserve"> Moral Problem</w:t>
      </w:r>
      <w:r w:rsidRPr="00E110E4">
        <w:rPr>
          <w:rFonts w:cstheme="minorHAnsi"/>
          <w:sz w:val="20"/>
          <w:szCs w:val="20"/>
          <w:lang w:val="en-US"/>
        </w:rPr>
        <w:t>, Blackwell, 1994.</w:t>
      </w:r>
    </w:p>
    <w:p w:rsidR="00B1213C" w:rsidRPr="00E110E4" w:rsidRDefault="00B1213C" w:rsidP="00006C4C">
      <w:pPr>
        <w:rPr>
          <w:rFonts w:cstheme="minorHAnsi"/>
          <w:sz w:val="20"/>
          <w:szCs w:val="20"/>
          <w:lang w:val="en-US"/>
        </w:rPr>
      </w:pPr>
      <w:r w:rsidRPr="00E110E4">
        <w:rPr>
          <w:rFonts w:cstheme="minorHAnsi"/>
          <w:sz w:val="20"/>
          <w:szCs w:val="20"/>
          <w:lang w:val="en-US"/>
        </w:rPr>
        <w:t xml:space="preserve">Thomas Nagel, </w:t>
      </w:r>
      <w:proofErr w:type="gramStart"/>
      <w:r w:rsidRPr="00E110E4">
        <w:rPr>
          <w:rFonts w:cstheme="minorHAnsi"/>
          <w:i/>
          <w:sz w:val="20"/>
          <w:szCs w:val="20"/>
          <w:lang w:val="en-US"/>
        </w:rPr>
        <w:t>The</w:t>
      </w:r>
      <w:proofErr w:type="gramEnd"/>
      <w:r w:rsidRPr="00E110E4">
        <w:rPr>
          <w:rFonts w:cstheme="minorHAnsi"/>
          <w:i/>
          <w:sz w:val="20"/>
          <w:szCs w:val="20"/>
          <w:lang w:val="en-US"/>
        </w:rPr>
        <w:t xml:space="preserve"> Possibility of Altruism</w:t>
      </w:r>
      <w:r w:rsidRPr="00E110E4">
        <w:rPr>
          <w:rFonts w:cstheme="minorHAnsi"/>
          <w:sz w:val="20"/>
          <w:szCs w:val="20"/>
          <w:lang w:val="en-US"/>
        </w:rPr>
        <w:t>, Princeton: Princeton University Press, 1978.</w:t>
      </w:r>
    </w:p>
    <w:sectPr w:rsidR="00B1213C" w:rsidRPr="00E110E4" w:rsidSect="003B4B6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64037D"/>
    <w:multiLevelType w:val="hybridMultilevel"/>
    <w:tmpl w:val="9792238A"/>
    <w:lvl w:ilvl="0" w:tplc="1784AB06">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nsid w:val="661A42E6"/>
    <w:multiLevelType w:val="hybridMultilevel"/>
    <w:tmpl w:val="92FC62BC"/>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nsid w:val="6E185A67"/>
    <w:multiLevelType w:val="hybridMultilevel"/>
    <w:tmpl w:val="89C61710"/>
    <w:lvl w:ilvl="0" w:tplc="77AC8E16">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proofState w:spelling="clean" w:grammar="clean"/>
  <w:defaultTabStop w:val="708"/>
  <w:hyphenationZone w:val="425"/>
  <w:characterSpacingControl w:val="doNotCompress"/>
  <w:compat/>
  <w:rsids>
    <w:rsidRoot w:val="00006C4C"/>
    <w:rsid w:val="00006C4C"/>
    <w:rsid w:val="003B4B6C"/>
    <w:rsid w:val="0043796F"/>
    <w:rsid w:val="006F33A0"/>
    <w:rsid w:val="00781D0E"/>
    <w:rsid w:val="008B2B91"/>
    <w:rsid w:val="008F1A26"/>
    <w:rsid w:val="009D121B"/>
    <w:rsid w:val="00A32220"/>
    <w:rsid w:val="00B1213C"/>
    <w:rsid w:val="00BB426F"/>
    <w:rsid w:val="00CE3320"/>
    <w:rsid w:val="00E110E4"/>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B6C"/>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06C4C"/>
    <w:pPr>
      <w:ind w:left="720"/>
      <w:contextualSpacing/>
    </w:pPr>
  </w:style>
  <w:style w:type="character" w:styleId="Hiperligao">
    <w:name w:val="Hyperlink"/>
    <w:basedOn w:val="Tipodeletrapredefinidodopargrafo"/>
    <w:uiPriority w:val="99"/>
    <w:semiHidden/>
    <w:unhideWhenUsed/>
    <w:rsid w:val="006F33A0"/>
    <w:rPr>
      <w:color w:val="104BB8"/>
      <w:u w:val="single"/>
    </w:rPr>
  </w:style>
  <w:style w:type="character" w:styleId="nfase">
    <w:name w:val="Emphasis"/>
    <w:basedOn w:val="Tipodeletrapredefinidodopargrafo"/>
    <w:uiPriority w:val="20"/>
    <w:qFormat/>
    <w:rsid w:val="006F33A0"/>
    <w:rPr>
      <w:i/>
      <w:iCs/>
    </w:rPr>
  </w:style>
  <w:style w:type="character" w:customStyle="1" w:styleId="citation2">
    <w:name w:val="citation2"/>
    <w:basedOn w:val="Tipodeletrapredefinidodopargrafo"/>
    <w:rsid w:val="006F33A0"/>
  </w:style>
  <w:style w:type="character" w:customStyle="1" w:styleId="name3">
    <w:name w:val="name3"/>
    <w:basedOn w:val="Tipodeletrapredefinidodopargrafo"/>
    <w:rsid w:val="006F33A0"/>
    <w:rPr>
      <w:b/>
      <w:bCs/>
    </w:rPr>
  </w:style>
  <w:style w:type="character" w:customStyle="1" w:styleId="pubinfo2">
    <w:name w:val="pubinfo2"/>
    <w:basedOn w:val="Tipodeletrapredefinidodopargrafo"/>
    <w:rsid w:val="006F33A0"/>
    <w:rPr>
      <w:color w:val="555555"/>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CC8C1E-BFB3-41F8-9592-4194F9B6E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500</Words>
  <Characters>2706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Utilizador</dc:creator>
  <cp:lastModifiedBy>Utilizador</cp:lastModifiedBy>
  <cp:revision>5</cp:revision>
  <dcterms:created xsi:type="dcterms:W3CDTF">2012-03-15T15:44:00Z</dcterms:created>
  <dcterms:modified xsi:type="dcterms:W3CDTF">2012-03-16T10:07:00Z</dcterms:modified>
</cp:coreProperties>
</file>